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4C" w:rsidRPr="00E06ED1" w:rsidRDefault="002D6C4C" w:rsidP="002D6C4C">
      <w:pPr>
        <w:jc w:val="center"/>
        <w:rPr>
          <w:b/>
          <w:sz w:val="28"/>
          <w:szCs w:val="28"/>
        </w:rPr>
      </w:pPr>
      <w:r w:rsidRPr="00E06ED1">
        <w:rPr>
          <w:b/>
          <w:sz w:val="28"/>
          <w:szCs w:val="28"/>
        </w:rPr>
        <w:t xml:space="preserve">BỘ TIÊU CHÍ </w:t>
      </w:r>
      <w:r>
        <w:rPr>
          <w:b/>
          <w:sz w:val="28"/>
          <w:szCs w:val="28"/>
        </w:rPr>
        <w:t xml:space="preserve">XÃ </w:t>
      </w:r>
      <w:r w:rsidR="00D808F4">
        <w:rPr>
          <w:b/>
          <w:sz w:val="28"/>
          <w:szCs w:val="28"/>
          <w:lang w:val="vi-VN"/>
        </w:rPr>
        <w:t xml:space="preserve">ĐẠT CHUẨN </w:t>
      </w:r>
      <w:r w:rsidRPr="00E06ED1">
        <w:rPr>
          <w:b/>
          <w:sz w:val="28"/>
          <w:szCs w:val="28"/>
        </w:rPr>
        <w:t xml:space="preserve">NÔNG THÔN MỚI  </w:t>
      </w:r>
    </w:p>
    <w:p w:rsidR="002D6C4C" w:rsidRPr="00E06ED1" w:rsidRDefault="00850067" w:rsidP="002D6C4C">
      <w:pPr>
        <w:jc w:val="center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TRÊN ĐỊA BÀN TẠI </w:t>
      </w:r>
      <w:r w:rsidRPr="00E06ED1">
        <w:rPr>
          <w:b/>
          <w:sz w:val="28"/>
          <w:szCs w:val="28"/>
        </w:rPr>
        <w:t>TỈNH THỪA THIÊN HUẾ</w:t>
      </w:r>
      <w:r w:rsidR="007B135E" w:rsidRPr="007B135E">
        <w:rPr>
          <w:b/>
          <w:sz w:val="28"/>
          <w:szCs w:val="28"/>
        </w:rPr>
        <w:t xml:space="preserve"> </w:t>
      </w:r>
      <w:r w:rsidR="007B135E" w:rsidRPr="00E06ED1">
        <w:rPr>
          <w:b/>
          <w:sz w:val="28"/>
          <w:szCs w:val="28"/>
        </w:rPr>
        <w:t>GIAI ĐOẠN 2016 – 2020</w:t>
      </w:r>
      <w:r w:rsidR="002D6C4C" w:rsidRPr="00E06ED1">
        <w:rPr>
          <w:b/>
          <w:sz w:val="28"/>
          <w:szCs w:val="28"/>
        </w:rPr>
        <w:br/>
      </w:r>
      <w:r w:rsidR="002D6C4C" w:rsidRPr="00E06ED1">
        <w:rPr>
          <w:i/>
          <w:iCs/>
          <w:sz w:val="28"/>
          <w:szCs w:val="28"/>
        </w:rPr>
        <w:t> </w:t>
      </w:r>
      <w:r w:rsidR="002D6C4C" w:rsidRPr="00E06ED1">
        <w:rPr>
          <w:i/>
          <w:iCs/>
          <w:sz w:val="28"/>
          <w:szCs w:val="28"/>
          <w:lang w:val="vi-VN"/>
        </w:rPr>
        <w:t>(</w:t>
      </w:r>
      <w:r w:rsidR="00A21743">
        <w:rPr>
          <w:i/>
          <w:iCs/>
          <w:sz w:val="28"/>
          <w:szCs w:val="28"/>
        </w:rPr>
        <w:t>K</w:t>
      </w:r>
      <w:r w:rsidR="002D6C4C" w:rsidRPr="00E06ED1">
        <w:rPr>
          <w:i/>
          <w:iCs/>
          <w:sz w:val="28"/>
          <w:szCs w:val="28"/>
          <w:lang w:val="vi-VN"/>
        </w:rPr>
        <w:t xml:space="preserve">èm theo </w:t>
      </w:r>
      <w:r w:rsidR="00A21743">
        <w:rPr>
          <w:i/>
          <w:iCs/>
          <w:sz w:val="28"/>
          <w:szCs w:val="28"/>
        </w:rPr>
        <w:t xml:space="preserve">Công văn </w:t>
      </w:r>
      <w:r w:rsidR="002D6C4C" w:rsidRPr="00E06ED1">
        <w:rPr>
          <w:i/>
          <w:iCs/>
          <w:sz w:val="28"/>
          <w:szCs w:val="28"/>
          <w:lang w:val="vi-VN"/>
        </w:rPr>
        <w:t xml:space="preserve"> </w:t>
      </w:r>
      <w:r w:rsidR="002D6C4C" w:rsidRPr="00E06ED1">
        <w:rPr>
          <w:i/>
          <w:iCs/>
          <w:sz w:val="28"/>
          <w:szCs w:val="28"/>
        </w:rPr>
        <w:t xml:space="preserve">số </w:t>
      </w:r>
      <w:r w:rsidR="00A80EA0">
        <w:rPr>
          <w:i/>
          <w:iCs/>
          <w:sz w:val="28"/>
          <w:szCs w:val="28"/>
        </w:rPr>
        <w:t xml:space="preserve">          </w:t>
      </w:r>
      <w:r w:rsidR="002D6C4C" w:rsidRPr="00E06ED1">
        <w:rPr>
          <w:i/>
          <w:iCs/>
          <w:sz w:val="28"/>
          <w:szCs w:val="28"/>
          <w:lang w:val="vi-VN"/>
        </w:rPr>
        <w:t>/</w:t>
      </w:r>
      <w:r w:rsidR="00A21743">
        <w:rPr>
          <w:i/>
          <w:iCs/>
          <w:sz w:val="28"/>
          <w:szCs w:val="28"/>
        </w:rPr>
        <w:t>CV</w:t>
      </w:r>
      <w:r w:rsidR="002D6C4C" w:rsidRPr="00E06ED1">
        <w:rPr>
          <w:i/>
          <w:iCs/>
          <w:sz w:val="28"/>
          <w:szCs w:val="28"/>
        </w:rPr>
        <w:t>-</w:t>
      </w:r>
      <w:r w:rsidR="00A21743">
        <w:rPr>
          <w:i/>
          <w:iCs/>
          <w:sz w:val="28"/>
          <w:szCs w:val="28"/>
        </w:rPr>
        <w:t xml:space="preserve">VPĐP </w:t>
      </w:r>
      <w:r w:rsidR="002D6C4C" w:rsidRPr="00E06ED1">
        <w:rPr>
          <w:i/>
          <w:iCs/>
          <w:sz w:val="28"/>
          <w:szCs w:val="28"/>
          <w:lang w:val="vi-VN"/>
        </w:rPr>
        <w:t xml:space="preserve"> ngày</w:t>
      </w:r>
      <w:r w:rsidR="00A80EA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05</w:t>
      </w:r>
      <w:r>
        <w:rPr>
          <w:i/>
          <w:iCs/>
          <w:sz w:val="28"/>
          <w:szCs w:val="28"/>
          <w:lang w:val="vi-VN"/>
        </w:rPr>
        <w:t xml:space="preserve"> tháng 7</w:t>
      </w:r>
      <w:r w:rsidR="002D6C4C" w:rsidRPr="00E06ED1">
        <w:rPr>
          <w:i/>
          <w:iCs/>
          <w:sz w:val="28"/>
          <w:szCs w:val="28"/>
        </w:rPr>
        <w:t xml:space="preserve"> </w:t>
      </w:r>
      <w:r w:rsidR="002D6C4C" w:rsidRPr="00E06ED1">
        <w:rPr>
          <w:i/>
          <w:iCs/>
          <w:sz w:val="28"/>
          <w:szCs w:val="28"/>
          <w:lang w:val="vi-VN"/>
        </w:rPr>
        <w:t>năm 201</w:t>
      </w:r>
      <w:r w:rsidR="002D6C4C" w:rsidRPr="00E06ED1">
        <w:rPr>
          <w:i/>
          <w:iCs/>
          <w:sz w:val="28"/>
          <w:szCs w:val="28"/>
        </w:rPr>
        <w:t>7</w:t>
      </w:r>
    </w:p>
    <w:p w:rsidR="002D6C4C" w:rsidRPr="00E06ED1" w:rsidRDefault="002D6C4C" w:rsidP="002D6C4C">
      <w:pPr>
        <w:jc w:val="center"/>
        <w:rPr>
          <w:sz w:val="28"/>
          <w:szCs w:val="28"/>
        </w:rPr>
      </w:pPr>
      <w:r w:rsidRPr="00E06ED1">
        <w:rPr>
          <w:i/>
          <w:iCs/>
          <w:sz w:val="28"/>
          <w:szCs w:val="28"/>
          <w:lang w:val="vi-VN"/>
        </w:rPr>
        <w:t xml:space="preserve"> của </w:t>
      </w:r>
      <w:r w:rsidR="00A21743">
        <w:rPr>
          <w:i/>
          <w:iCs/>
          <w:sz w:val="28"/>
          <w:szCs w:val="28"/>
        </w:rPr>
        <w:t xml:space="preserve">Văn phòng Điều phối Nông thôn mới tỉnh Thừa Thiên Huế </w:t>
      </w:r>
      <w:r w:rsidRPr="00E06ED1">
        <w:rPr>
          <w:i/>
          <w:iCs/>
          <w:sz w:val="28"/>
          <w:szCs w:val="28"/>
          <w:lang w:val="vi-VN"/>
        </w:rPr>
        <w:t>)</w:t>
      </w:r>
    </w:p>
    <w:p w:rsidR="002D6C4C" w:rsidRPr="00E06ED1" w:rsidRDefault="002D6C4C" w:rsidP="002D6C4C">
      <w:pPr>
        <w:shd w:val="clear" w:color="auto" w:fill="FFFFFF"/>
        <w:jc w:val="center"/>
        <w:rPr>
          <w:b/>
          <w:bCs/>
          <w:i/>
          <w:spacing w:val="-2"/>
          <w:position w:val="-2"/>
          <w:sz w:val="28"/>
          <w:szCs w:val="28"/>
          <w:lang w:val="pl-PL"/>
        </w:rPr>
      </w:pPr>
    </w:p>
    <w:tbl>
      <w:tblPr>
        <w:tblW w:w="10389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130"/>
        <w:gridCol w:w="5278"/>
        <w:gridCol w:w="1951"/>
        <w:gridCol w:w="987"/>
      </w:tblGrid>
      <w:tr w:rsidR="0048718B" w:rsidRPr="00E06ED1" w:rsidTr="0048718B">
        <w:trPr>
          <w:trHeight w:val="807"/>
          <w:tblHeader/>
        </w:trPr>
        <w:tc>
          <w:tcPr>
            <w:tcW w:w="1043" w:type="dxa"/>
            <w:shd w:val="clear" w:color="auto" w:fill="FFFFFF"/>
            <w:vAlign w:val="center"/>
          </w:tcPr>
          <w:p w:rsidR="002D6C4C" w:rsidRPr="00E06ED1" w:rsidRDefault="002D6C4C" w:rsidP="002D6C4C">
            <w:pPr>
              <w:shd w:val="clear" w:color="auto" w:fill="FFFFFF"/>
              <w:spacing w:before="48" w:beforeAutospacing="1" w:after="72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TT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D6C4C" w:rsidRPr="00E06ED1" w:rsidRDefault="002D6C4C" w:rsidP="0048718B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Tên 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tiêu chí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ind w:left="14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N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ội dung tiêu chí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2D6C4C" w:rsidRPr="00E06ED1" w:rsidRDefault="002D6C4C" w:rsidP="002D6C4C">
            <w:pPr>
              <w:shd w:val="clear" w:color="auto" w:fill="FFFFFF"/>
              <w:spacing w:before="48" w:beforeAutospacing="1" w:after="72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 xml:space="preserve">Chỉ tiêu 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/>
                <w:bCs/>
                <w:spacing w:val="-2"/>
                <w:position w:val="-2"/>
                <w:sz w:val="28"/>
                <w:szCs w:val="28"/>
              </w:rPr>
              <w:t>Ghi chú</w:t>
            </w:r>
          </w:p>
        </w:tc>
      </w:tr>
      <w:tr w:rsidR="00A80EA0" w:rsidRPr="00E06ED1" w:rsidTr="0048718B">
        <w:trPr>
          <w:trHeight w:val="547"/>
        </w:trPr>
        <w:tc>
          <w:tcPr>
            <w:tcW w:w="10389" w:type="dxa"/>
            <w:gridSpan w:val="5"/>
            <w:shd w:val="clear" w:color="auto" w:fill="FFFFFF"/>
            <w:vAlign w:val="center"/>
          </w:tcPr>
          <w:p w:rsidR="00A80EA0" w:rsidRDefault="00A80EA0" w:rsidP="0048718B">
            <w:pPr>
              <w:shd w:val="clear" w:color="auto" w:fill="FFFFFF"/>
              <w:spacing w:before="48" w:beforeAutospacing="1" w:after="72"/>
              <w:ind w:right="81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I. QUY HOẠCH</w:t>
            </w:r>
          </w:p>
        </w:tc>
      </w:tr>
      <w:tr w:rsidR="0048718B" w:rsidRPr="00E06ED1" w:rsidTr="0048718B">
        <w:trPr>
          <w:trHeight w:val="930"/>
        </w:trPr>
        <w:tc>
          <w:tcPr>
            <w:tcW w:w="1043" w:type="dxa"/>
            <w:vMerge w:val="restart"/>
            <w:shd w:val="clear" w:color="auto" w:fill="FFFFFF"/>
            <w:vAlign w:val="center"/>
          </w:tcPr>
          <w:p w:rsidR="002D6C4C" w:rsidRPr="00E06ED1" w:rsidRDefault="002D6C4C" w:rsidP="002D6C4C">
            <w:pPr>
              <w:shd w:val="clear" w:color="auto" w:fill="FFFFFF"/>
              <w:spacing w:before="48" w:beforeAutospacing="1" w:after="72"/>
              <w:jc w:val="center"/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2D6C4C" w:rsidRPr="00E06ED1" w:rsidRDefault="002D6C4C" w:rsidP="0048718B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Quy hoạch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2D6C4C" w:rsidRPr="00E06ED1" w:rsidRDefault="002D6C4C" w:rsidP="006077BD">
            <w:pPr>
              <w:spacing w:before="100" w:beforeAutospacing="1" w:after="72" w:afterAutospacing="1"/>
              <w:ind w:left="141"/>
              <w:rPr>
                <w:sz w:val="28"/>
                <w:szCs w:val="28"/>
                <w:lang w:val="vi-VN"/>
              </w:rPr>
            </w:pPr>
            <w:r w:rsidRPr="00E06ED1">
              <w:rPr>
                <w:sz w:val="28"/>
                <w:szCs w:val="28"/>
                <w:lang w:val="vi-VN"/>
              </w:rPr>
              <w:t xml:space="preserve">1.1. </w:t>
            </w:r>
            <w:r w:rsidRPr="00E06ED1">
              <w:rPr>
                <w:sz w:val="28"/>
                <w:szCs w:val="28"/>
              </w:rPr>
              <w:t>Có quy hoạch chung xây dựng xã</w:t>
            </w:r>
            <w:r w:rsidR="006077BD">
              <w:rPr>
                <w:rStyle w:val="FootnoteReference"/>
                <w:sz w:val="28"/>
                <w:szCs w:val="28"/>
              </w:rPr>
              <w:footnoteReference w:id="1"/>
            </w:r>
            <w:r w:rsidR="006077BD">
              <w:rPr>
                <w:sz w:val="28"/>
                <w:szCs w:val="28"/>
              </w:rPr>
              <w:t xml:space="preserve"> </w:t>
            </w:r>
            <w:r w:rsidRPr="00E06ED1">
              <w:rPr>
                <w:sz w:val="28"/>
                <w:szCs w:val="28"/>
              </w:rPr>
              <w:t>được phê duyệt và được công bố công khai đúng thời hạn</w:t>
            </w:r>
            <w:r w:rsidRPr="00E06ED1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2D6C4C" w:rsidRPr="00E06ED1" w:rsidRDefault="002D6C4C" w:rsidP="002D6C4C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8718B" w:rsidRPr="00E06ED1" w:rsidTr="0048718B">
        <w:trPr>
          <w:trHeight w:val="892"/>
        </w:trPr>
        <w:tc>
          <w:tcPr>
            <w:tcW w:w="1043" w:type="dxa"/>
            <w:vMerge/>
            <w:shd w:val="clear" w:color="auto" w:fill="FFFFFF"/>
            <w:vAlign w:val="center"/>
          </w:tcPr>
          <w:p w:rsidR="002D6C4C" w:rsidRPr="00E06ED1" w:rsidRDefault="002D6C4C" w:rsidP="002D6C4C">
            <w:pPr>
              <w:shd w:val="clear" w:color="auto" w:fill="FFFFFF"/>
              <w:spacing w:before="48" w:beforeAutospacing="1" w:after="72"/>
              <w:jc w:val="center"/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2D6C4C" w:rsidRPr="00E06ED1" w:rsidRDefault="002D6C4C" w:rsidP="0048718B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2D6C4C" w:rsidRPr="00E06ED1" w:rsidRDefault="002D6C4C" w:rsidP="00AD6777">
            <w:pPr>
              <w:spacing w:before="100" w:beforeAutospacing="1" w:after="72" w:afterAutospacing="1"/>
              <w:ind w:left="141"/>
              <w:rPr>
                <w:sz w:val="28"/>
                <w:szCs w:val="28"/>
              </w:rPr>
            </w:pPr>
            <w:r w:rsidRPr="00E06ED1">
              <w:rPr>
                <w:sz w:val="28"/>
                <w:szCs w:val="28"/>
                <w:lang w:val="vi-VN"/>
              </w:rPr>
              <w:t xml:space="preserve">1.2. </w:t>
            </w:r>
            <w:r w:rsidRPr="00E06ED1">
              <w:rPr>
                <w:sz w:val="28"/>
                <w:szCs w:val="28"/>
              </w:rPr>
              <w:t>Ban hành quy định quản lý quy hoạch chung xây dựng xã và tổ chức thực hiện theo quy hoạch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2D6C4C" w:rsidRPr="00E06ED1" w:rsidRDefault="002D6C4C" w:rsidP="002D6C4C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Đạt 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A80EA0" w:rsidRPr="00E06ED1" w:rsidTr="0048718B">
        <w:trPr>
          <w:trHeight w:val="601"/>
        </w:trPr>
        <w:tc>
          <w:tcPr>
            <w:tcW w:w="10389" w:type="dxa"/>
            <w:gridSpan w:val="5"/>
            <w:shd w:val="clear" w:color="auto" w:fill="FFFFFF"/>
            <w:vAlign w:val="center"/>
          </w:tcPr>
          <w:p w:rsidR="00A80EA0" w:rsidRPr="00E06ED1" w:rsidRDefault="00A80EA0" w:rsidP="0048718B">
            <w:pPr>
              <w:shd w:val="clear" w:color="auto" w:fill="FFFFFF"/>
              <w:spacing w:before="48" w:beforeAutospacing="1" w:after="72"/>
              <w:ind w:right="8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II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. HẠ T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ẦN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G KINH T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 xml:space="preserve">Ế - 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XÃ HỘI</w:t>
            </w:r>
          </w:p>
        </w:tc>
      </w:tr>
      <w:tr w:rsidR="0048718B" w:rsidRPr="00E06ED1" w:rsidTr="0048718B">
        <w:trPr>
          <w:trHeight w:val="1162"/>
        </w:trPr>
        <w:tc>
          <w:tcPr>
            <w:tcW w:w="1043" w:type="dxa"/>
            <w:vMerge w:val="restart"/>
            <w:shd w:val="clear" w:color="auto" w:fill="FFFFFF"/>
            <w:vAlign w:val="center"/>
          </w:tcPr>
          <w:p w:rsidR="002D6C4C" w:rsidRPr="00E06ED1" w:rsidRDefault="002D6C4C" w:rsidP="002D6C4C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2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2D6C4C" w:rsidRPr="00E06ED1" w:rsidRDefault="002D6C4C" w:rsidP="0048718B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Giao thông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2.1.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Đường xã và đường từ trung tâm xã đến đường huyện được nhựa hóa hoặc bê tông hóa đảm bảo ô tô đi lại thuận tiện quanh năm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2D6C4C" w:rsidRPr="00E06ED1" w:rsidRDefault="002D6C4C" w:rsidP="002D6C4C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>Quy định chi tiết theo Phụ lục đính kèm</w:t>
            </w:r>
          </w:p>
        </w:tc>
      </w:tr>
      <w:tr w:rsidR="0048718B" w:rsidRPr="00E06ED1" w:rsidTr="0048718B">
        <w:trPr>
          <w:trHeight w:val="991"/>
        </w:trPr>
        <w:tc>
          <w:tcPr>
            <w:tcW w:w="1043" w:type="dxa"/>
            <w:vMerge/>
            <w:vAlign w:val="center"/>
          </w:tcPr>
          <w:p w:rsidR="002D6C4C" w:rsidRPr="00E06ED1" w:rsidRDefault="002D6C4C" w:rsidP="002D6C4C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2D6C4C" w:rsidRPr="00E06ED1" w:rsidRDefault="002D6C4C" w:rsidP="0048718B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2.2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. Đường trục thôn,bản, ấp và đường thôn, bản, ấp ít nhất được c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>ứ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ng hóa, đảm bảo ô tô đi lại thuận tiện quanh năm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2D6C4C" w:rsidRPr="00E06ED1" w:rsidRDefault="002D6C4C" w:rsidP="002D6C4C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Đạt </w:t>
            </w:r>
          </w:p>
        </w:tc>
        <w:tc>
          <w:tcPr>
            <w:tcW w:w="98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8718B" w:rsidRPr="00E06ED1" w:rsidTr="0048718B">
        <w:trPr>
          <w:trHeight w:val="693"/>
        </w:trPr>
        <w:tc>
          <w:tcPr>
            <w:tcW w:w="1043" w:type="dxa"/>
            <w:vMerge/>
            <w:vAlign w:val="center"/>
          </w:tcPr>
          <w:p w:rsidR="002D6C4C" w:rsidRPr="00E06ED1" w:rsidRDefault="002D6C4C" w:rsidP="002D6C4C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2D6C4C" w:rsidRPr="00E06ED1" w:rsidRDefault="002D6C4C" w:rsidP="0048718B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2.3.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 Đ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ường ngõ, xóm sạch và không lầy lội vào mùa mưa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2D6C4C" w:rsidRPr="00E06ED1" w:rsidRDefault="002D6C4C" w:rsidP="002D6C4C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8718B" w:rsidRPr="00E06ED1" w:rsidTr="0048718B">
        <w:trPr>
          <w:trHeight w:val="978"/>
        </w:trPr>
        <w:tc>
          <w:tcPr>
            <w:tcW w:w="1043" w:type="dxa"/>
            <w:vMerge/>
            <w:vAlign w:val="center"/>
          </w:tcPr>
          <w:p w:rsidR="002D6C4C" w:rsidRPr="00E06ED1" w:rsidRDefault="002D6C4C" w:rsidP="002D6C4C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2D6C4C" w:rsidRPr="00E06ED1" w:rsidRDefault="002D6C4C" w:rsidP="0048718B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2.4.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ường trục chính nội đồng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đảm bảo vận chuyển hàng hóa thuận tiện quanh năm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2D6C4C" w:rsidRPr="00E06ED1" w:rsidRDefault="002D6C4C" w:rsidP="002D6C4C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Đạt </w:t>
            </w:r>
          </w:p>
        </w:tc>
        <w:tc>
          <w:tcPr>
            <w:tcW w:w="98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C4C" w:rsidRPr="00E06ED1" w:rsidRDefault="002D6C4C" w:rsidP="00AD6777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534F22" w:rsidRPr="00E06ED1" w:rsidTr="0048718B">
        <w:trPr>
          <w:trHeight w:val="978"/>
        </w:trPr>
        <w:tc>
          <w:tcPr>
            <w:tcW w:w="1043" w:type="dxa"/>
            <w:vMerge w:val="restart"/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3</w:t>
            </w:r>
          </w:p>
        </w:tc>
        <w:tc>
          <w:tcPr>
            <w:tcW w:w="1130" w:type="dxa"/>
            <w:vMerge w:val="restart"/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Thủy lợi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534F22" w:rsidRPr="00E06ED1" w:rsidRDefault="00534F22" w:rsidP="00245CAE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3 1.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Tỷ lệ </w:t>
            </w:r>
            <w:r w:rsidR="00245CAE">
              <w:rPr>
                <w:bCs/>
                <w:spacing w:val="-2"/>
                <w:position w:val="-2"/>
                <w:sz w:val="28"/>
                <w:szCs w:val="28"/>
              </w:rPr>
              <w:t>d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iện tích đất nông nghiệp được tưới và tiêu nước chủ động đạt từ 80% trở lên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>Quy định chi tiết theo Phụ lục đính kèm</w:t>
            </w:r>
          </w:p>
        </w:tc>
      </w:tr>
      <w:tr w:rsidR="00534F22" w:rsidRPr="00E06ED1" w:rsidTr="0048718B">
        <w:trPr>
          <w:trHeight w:val="978"/>
        </w:trPr>
        <w:tc>
          <w:tcPr>
            <w:tcW w:w="1043" w:type="dxa"/>
            <w:vMerge/>
            <w:vAlign w:val="center"/>
          </w:tcPr>
          <w:p w:rsidR="00534F22" w:rsidRPr="00E06ED1" w:rsidRDefault="00534F22" w:rsidP="00534F22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534F22" w:rsidRPr="00E06ED1" w:rsidRDefault="00534F22" w:rsidP="00534F22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534F22" w:rsidRPr="00E06ED1" w:rsidRDefault="00534F22" w:rsidP="00BE0BA3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3.2.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Đảm bảo đủ điều k</w:t>
            </w:r>
            <w:r w:rsidR="007B135E">
              <w:rPr>
                <w:bCs/>
                <w:spacing w:val="-2"/>
                <w:position w:val="-2"/>
                <w:sz w:val="28"/>
                <w:szCs w:val="28"/>
              </w:rPr>
              <w:t>i</w:t>
            </w:r>
            <w:bookmarkStart w:id="0" w:name="_GoBack"/>
            <w:bookmarkEnd w:id="0"/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ện đáp ứng yêu cầu dân sinh và theo quy định về chống thiên tai tại ch</w:t>
            </w:r>
            <w:r w:rsidR="00BE0BA3">
              <w:rPr>
                <w:bCs/>
                <w:spacing w:val="-2"/>
                <w:position w:val="-2"/>
                <w:sz w:val="28"/>
                <w:szCs w:val="28"/>
              </w:rPr>
              <w:t>ỗ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534F22" w:rsidRPr="00E06ED1" w:rsidTr="0048718B">
        <w:trPr>
          <w:trHeight w:val="420"/>
        </w:trPr>
        <w:tc>
          <w:tcPr>
            <w:tcW w:w="1043" w:type="dxa"/>
            <w:vMerge w:val="restart"/>
            <w:shd w:val="clear" w:color="auto" w:fill="FFFFFF"/>
            <w:vAlign w:val="center"/>
          </w:tcPr>
          <w:p w:rsidR="00534F22" w:rsidRPr="00E06ED1" w:rsidRDefault="00534F22" w:rsidP="00534F22">
            <w:pPr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4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Điện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4.1. Hệ thống điện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 chuẩn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534F22" w:rsidRPr="00E06ED1" w:rsidTr="0048718B">
        <w:trPr>
          <w:trHeight w:val="908"/>
        </w:trPr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534F22" w:rsidRPr="00E06ED1" w:rsidRDefault="00534F22" w:rsidP="00534F22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:rsidR="00534F22" w:rsidRPr="00E06ED1" w:rsidRDefault="00534F22" w:rsidP="00534F22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4.2.</w:t>
            </w:r>
            <w:r w:rsidR="00BE0BA3">
              <w:rPr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Tỷ lệ hộ sử dụng điện thường xuyên, an toàn t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ừ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các nguồn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98%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534F22" w:rsidRPr="00E06ED1" w:rsidTr="0048718B">
        <w:trPr>
          <w:trHeight w:val="10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22" w:rsidRPr="00E06ED1" w:rsidRDefault="00534F22" w:rsidP="00534F22">
            <w:pPr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Trường học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  <w:lang w:val="vi-VN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Tỷ lệ trường học các cấp: mầm non, mẫu giáo, tiểu học, THCS có cơ sở v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ậ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t chất đ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ạ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t chuẩn quốc 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80%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F22" w:rsidRPr="00E06ED1" w:rsidRDefault="00534F22" w:rsidP="00534F22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0D07CC">
        <w:trPr>
          <w:trHeight w:val="1043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  <w:lang w:val="vi-VN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9DD" w:rsidRPr="00E06ED1" w:rsidRDefault="004979DD" w:rsidP="004979DD">
            <w:pPr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Cơ sở vật chất v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ă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n h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ó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a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6.1.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Xã có n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hà văn hóa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hoặc hội trường đa năng và sân thể thao phục vụ sinh hoạt văn hóa thể thao của toàn xã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>Quy định chi tiết theo Phụ lục đính kèm</w:t>
            </w:r>
          </w:p>
        </w:tc>
      </w:tr>
      <w:tr w:rsidR="004979DD" w:rsidRPr="00E06ED1" w:rsidTr="000D07CC">
        <w:trPr>
          <w:trHeight w:val="1043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  <w:lang w:val="vi-V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DD" w:rsidRPr="00E06ED1" w:rsidRDefault="004979DD" w:rsidP="004979DD">
            <w:pPr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6.2.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Xã có điểm vui chơi, giải trí và thể thao cho trẻ em và người cao tuổi theo quy định</w:t>
            </w:r>
            <w:r>
              <w:rPr>
                <w:rStyle w:val="FootnoteReference"/>
                <w:bCs/>
                <w:spacing w:val="-2"/>
                <w:position w:val="-2"/>
                <w:sz w:val="28"/>
                <w:szCs w:val="28"/>
              </w:rPr>
              <w:footnoteReference w:id="2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323544">
        <w:trPr>
          <w:trHeight w:val="1043"/>
        </w:trPr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  <w:lang w:val="vi-V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DD" w:rsidRPr="00E06ED1" w:rsidRDefault="004979DD" w:rsidP="004979DD">
            <w:pPr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6.3. Tỷ lệ thôn, bản ấp có nhà văn hóa hoặc nới sinh hoạt văn hóa, thể thao phục vụ c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>ộ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ng đồng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634"/>
        </w:trPr>
        <w:tc>
          <w:tcPr>
            <w:tcW w:w="1043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7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Cơ sở hạ t</w:t>
            </w:r>
            <w:r>
              <w:rPr>
                <w:b/>
                <w:bCs/>
                <w:spacing w:val="-2"/>
                <w:position w:val="-2"/>
                <w:sz w:val="28"/>
                <w:szCs w:val="28"/>
              </w:rPr>
              <w:t>ầ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ng thương mại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nông thôn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Xã có chợ nông thôn hoặc nơi trao đổi mua bán hàng hóa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>Quy định chi tiết theo Phụ lục đính kèm</w:t>
            </w:r>
          </w:p>
        </w:tc>
      </w:tr>
      <w:tr w:rsidR="004979DD" w:rsidRPr="00E06ED1" w:rsidTr="0048718B">
        <w:trPr>
          <w:trHeight w:val="601"/>
        </w:trPr>
        <w:tc>
          <w:tcPr>
            <w:tcW w:w="1043" w:type="dxa"/>
            <w:vMerge w:val="restart"/>
            <w:shd w:val="clear" w:color="auto" w:fill="FFFFFF"/>
            <w:vAlign w:val="center"/>
          </w:tcPr>
          <w:p w:rsidR="004979DD" w:rsidRPr="00E06ED1" w:rsidRDefault="004979DD" w:rsidP="004979DD">
            <w:pPr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8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4979DD" w:rsidRPr="00E06ED1" w:rsidRDefault="004979DD" w:rsidP="004979DD">
            <w:pPr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 xml:space="preserve">Thông tin và </w:t>
            </w:r>
            <w:r>
              <w:rPr>
                <w:b/>
                <w:bCs/>
                <w:spacing w:val="-2"/>
                <w:position w:val="-2"/>
                <w:sz w:val="28"/>
                <w:szCs w:val="28"/>
              </w:rPr>
              <w:t>t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ruyền thông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8.1.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Xã c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ó điểm phục vụ bưu chính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>Quy định chi tiết theo Phụ lục đính kèm</w:t>
            </w:r>
          </w:p>
        </w:tc>
      </w:tr>
      <w:tr w:rsidR="004979DD" w:rsidRPr="00E06ED1" w:rsidTr="0048718B">
        <w:trPr>
          <w:trHeight w:val="379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8.2.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Xã c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ó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điểm phục vụ viễn thông,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i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nter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n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et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379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8.3. Xã có đài truyền thanh và hệ thống loa đến các thôn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379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8.4. Xã có ứng dụng công nghệ thông tin trong công tác quản lý, điều hành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370"/>
        </w:trPr>
        <w:tc>
          <w:tcPr>
            <w:tcW w:w="1043" w:type="dxa"/>
            <w:vMerge w:val="restart"/>
            <w:shd w:val="clear" w:color="auto" w:fill="FFFFFF"/>
            <w:vAlign w:val="center"/>
          </w:tcPr>
          <w:p w:rsidR="004979DD" w:rsidRPr="00E06ED1" w:rsidRDefault="004979DD" w:rsidP="004979DD">
            <w:pPr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9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Nhà ở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dân cư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9.1. Nhà tạm, dột nát 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Không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643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9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.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2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.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T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ỷ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l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ệ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h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ộ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có nhà ở đạt tiêu chuẩn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theo quy định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 80%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544"/>
        </w:trPr>
        <w:tc>
          <w:tcPr>
            <w:tcW w:w="10389" w:type="dxa"/>
            <w:gridSpan w:val="5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right="8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II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I. KINH T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Ế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VÀ </w:t>
            </w:r>
            <w:r w:rsidRPr="00E06ED1">
              <w:rPr>
                <w:b/>
                <w:spacing w:val="-2"/>
                <w:position w:val="-2"/>
                <w:sz w:val="28"/>
                <w:szCs w:val="28"/>
                <w:lang w:val="vi-VN"/>
              </w:rPr>
              <w:t>T</w:t>
            </w:r>
            <w:r w:rsidRPr="00E06ED1">
              <w:rPr>
                <w:b/>
                <w:spacing w:val="-2"/>
                <w:position w:val="-2"/>
                <w:sz w:val="28"/>
                <w:szCs w:val="28"/>
              </w:rPr>
              <w:t>Ổ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CHỨC SẢN XUẤT</w:t>
            </w:r>
          </w:p>
        </w:tc>
      </w:tr>
      <w:tr w:rsidR="004979DD" w:rsidRPr="00E06ED1" w:rsidTr="0048718B">
        <w:trPr>
          <w:trHeight w:val="928"/>
        </w:trPr>
        <w:tc>
          <w:tcPr>
            <w:tcW w:w="1043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Thu nhập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Thu nh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ậ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p b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ì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nh qu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â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n đầu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n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gười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 khu vực nông thôn </w:t>
            </w:r>
            <w:r w:rsidRPr="00E06ED1">
              <w:rPr>
                <w:bCs/>
                <w:i/>
                <w:spacing w:val="-2"/>
                <w:position w:val="-2"/>
                <w:sz w:val="28"/>
                <w:szCs w:val="28"/>
              </w:rPr>
              <w:t>(triệu đồng/người)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Default="004979DD" w:rsidP="004979DD">
            <w:pPr>
              <w:shd w:val="clear" w:color="auto" w:fill="FFFFFF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Năm 2016: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22</w:t>
            </w:r>
          </w:p>
          <w:p w:rsidR="004979DD" w:rsidRDefault="004979DD" w:rsidP="004979DD">
            <w:pPr>
              <w:shd w:val="clear" w:color="auto" w:fill="FFFFFF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Năm 2017: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26</w:t>
            </w:r>
          </w:p>
          <w:p w:rsidR="004979DD" w:rsidRDefault="004979DD" w:rsidP="004979DD">
            <w:pPr>
              <w:shd w:val="clear" w:color="auto" w:fill="FFFFFF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Năm 2018: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30</w:t>
            </w:r>
          </w:p>
          <w:p w:rsidR="004979DD" w:rsidRDefault="004979DD" w:rsidP="004979DD">
            <w:pPr>
              <w:shd w:val="clear" w:color="auto" w:fill="FFFFFF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Năm 2019: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33</w:t>
            </w:r>
          </w:p>
          <w:p w:rsidR="004979DD" w:rsidRPr="00E06ED1" w:rsidRDefault="004979DD" w:rsidP="004979DD">
            <w:pPr>
              <w:shd w:val="clear" w:color="auto" w:fill="FFFFFF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Năm 2020: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36 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389"/>
        </w:trPr>
        <w:tc>
          <w:tcPr>
            <w:tcW w:w="1043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lastRenderedPageBreak/>
              <w:t>11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Hộ nghèo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Tỷ lệ hộ nghèo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 đa chiều giai đoạn  2016-2020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≤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5%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766"/>
        </w:trPr>
        <w:tc>
          <w:tcPr>
            <w:tcW w:w="1043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L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ao động có việc làm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Tỷ lệ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người làm việc trên dân số trong độ tuổi lao động có khả năng tham gia lao động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90%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865"/>
        </w:trPr>
        <w:tc>
          <w:tcPr>
            <w:tcW w:w="1043" w:type="dxa"/>
            <w:vMerge w:val="restart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13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Hình thức t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ổ chức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s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ả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n xuất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13.1. Xã có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hợp tác xã ho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ạt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đ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ộ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ng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theo đúng quy định 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>của Luật H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ợp tác xã năm 2012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865"/>
        </w:trPr>
        <w:tc>
          <w:tcPr>
            <w:tcW w:w="1043" w:type="dxa"/>
            <w:vMerge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  <w:lang w:val="vi-VN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13.2. Xã có mô hình liên kết sản xuất với tiêu thụ nông sản chủ lực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đảm bảo bền vững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500"/>
        </w:trPr>
        <w:tc>
          <w:tcPr>
            <w:tcW w:w="10389" w:type="dxa"/>
            <w:gridSpan w:val="5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right="8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IV. VĂN H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Ó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A - XÃ HỘI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-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MÔI TRƯỜNG</w:t>
            </w:r>
          </w:p>
        </w:tc>
      </w:tr>
      <w:tr w:rsidR="004979DD" w:rsidRPr="00E06ED1" w:rsidTr="0048718B">
        <w:trPr>
          <w:trHeight w:val="1218"/>
        </w:trPr>
        <w:tc>
          <w:tcPr>
            <w:tcW w:w="1043" w:type="dxa"/>
            <w:vMerge w:val="restart"/>
            <w:shd w:val="clear" w:color="auto" w:fill="FFFFFF"/>
            <w:vAlign w:val="center"/>
          </w:tcPr>
          <w:p w:rsidR="004979DD" w:rsidRPr="00E06ED1" w:rsidRDefault="004979DD" w:rsidP="004979DD">
            <w:pPr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14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Giáo dục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 xml:space="preserve"> và đào tạo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14.1. Phổ cập giáo dục trung học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mầm non cho trẻ em 5 tuổi, xóa mù chữ, phổ cập giáo dục tiểu học đúng độ tuổi; phổ cập giáo dục trung học cơ sở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1178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14.2. Tỷ lệ học sinh tốt nghiệp 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>trung học cơ sở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được tiếp tục h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ọc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trung h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ọc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(phổ thông, bổ túc,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 trung cấp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)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85%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658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14.3. Tỷ lệ lao động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có việc làm qua đào tạo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40%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611"/>
        </w:trPr>
        <w:tc>
          <w:tcPr>
            <w:tcW w:w="1043" w:type="dxa"/>
            <w:vMerge w:val="restart"/>
            <w:vAlign w:val="center"/>
          </w:tcPr>
          <w:p w:rsidR="004979DD" w:rsidRPr="00E06ED1" w:rsidRDefault="004979DD" w:rsidP="004979DD">
            <w:pPr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15</w:t>
            </w:r>
          </w:p>
        </w:tc>
        <w:tc>
          <w:tcPr>
            <w:tcW w:w="1130" w:type="dxa"/>
            <w:vMerge w:val="restart"/>
            <w:vAlign w:val="center"/>
          </w:tcPr>
          <w:p w:rsidR="004979DD" w:rsidRPr="00E06ED1" w:rsidRDefault="004979DD" w:rsidP="004979DD">
            <w:pPr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Y tế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15.1. Tỷ lệ người dân tham gia 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>b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ảo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 hiểm y tế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85%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481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  <w:lang w:val="vi-VN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15.2.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X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ã đ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ạ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t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tiêu chí quốc gia về 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>y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 tế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829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15.3. Tỷ lệ trẻ em dưới 5 tuổi bi suy dinh dưỡng thể thấp còi (chiều cao theo độ tuổi)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≤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24,2%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644"/>
        </w:trPr>
        <w:tc>
          <w:tcPr>
            <w:tcW w:w="1043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16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Văn h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ó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a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>Tỷ lệ thôn,bản,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 ấp đạt tiêu chuẩn văn hóa theo quy định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876"/>
        </w:trPr>
        <w:tc>
          <w:tcPr>
            <w:tcW w:w="1043" w:type="dxa"/>
            <w:vMerge w:val="restart"/>
            <w:shd w:val="clear" w:color="auto" w:fill="FFFFFF"/>
            <w:vAlign w:val="center"/>
          </w:tcPr>
          <w:p w:rsidR="004979DD" w:rsidRPr="00E06ED1" w:rsidRDefault="004979DD" w:rsidP="004979DD">
            <w:pPr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17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4979DD" w:rsidRPr="00E06ED1" w:rsidRDefault="004979DD" w:rsidP="004979DD">
            <w:pPr>
              <w:spacing w:before="48" w:beforeAutospacing="1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Môi trường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 xml:space="preserve"> và an toàn vệ sinh thực phẩm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ind w:left="141"/>
              <w:contextualSpacing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17.1. Tỷ lệ hộ được sử dụng nước hợp vệ sinh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 và nước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sạch theo quy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định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Default="004979DD" w:rsidP="004979DD">
            <w:pPr>
              <w:shd w:val="clear" w:color="auto" w:fill="FFFFFF"/>
              <w:contextualSpacing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>≥ 98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% </w:t>
            </w:r>
          </w:p>
          <w:p w:rsidR="004979DD" w:rsidRPr="00E06ED1" w:rsidRDefault="004979DD" w:rsidP="004979DD">
            <w:pPr>
              <w:shd w:val="clear" w:color="auto" w:fill="FFFFFF"/>
              <w:contextualSpacing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 xml:space="preserve">(≥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60% nước sạch</w:t>
            </w:r>
            <w:r>
              <w:rPr>
                <w:bCs/>
                <w:spacing w:val="-2"/>
                <w:position w:val="-2"/>
                <w:sz w:val="28"/>
                <w:szCs w:val="28"/>
              </w:rPr>
              <w:t>)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853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17.2.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Tỷ lệ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cơ sở SX-KD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, nuôi trồng thủy sản, làng nghề đảm bảo quy định về Môi trường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100%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939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17.3.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Xây dựng cảnh quan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môi trường xanh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 -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sạch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 -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đẹp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, an toàn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691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17.4.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Mai táng phù hợp với quy định và theo quy hoạch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BE0BA3" w:rsidRDefault="004979DD" w:rsidP="00A21743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0"/>
                <w:szCs w:val="20"/>
              </w:rPr>
            </w:pPr>
            <w:r w:rsidRPr="00BE0BA3">
              <w:rPr>
                <w:bCs/>
                <w:spacing w:val="-2"/>
                <w:position w:val="-2"/>
                <w:sz w:val="20"/>
                <w:szCs w:val="20"/>
              </w:rPr>
              <w:t>Chi tiết theo Phụ lục đính kèm</w:t>
            </w:r>
          </w:p>
        </w:tc>
      </w:tr>
      <w:tr w:rsidR="004979DD" w:rsidRPr="00E06ED1" w:rsidTr="0048718B">
        <w:trPr>
          <w:trHeight w:val="700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17.5. Chất thải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 rắn trên địa bàn và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nước thải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khu dân cư tập trung, cơ sở sản xuất kinh doanh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được thu gom và xử lý theo quy định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700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17.6. Tỷ lệ hộ có nhà tiêu nhà tắm, bể chứa nước sinh hoạt hợp vệ sinh và đảm bảo 3 sạch</w:t>
            </w:r>
            <w:r>
              <w:rPr>
                <w:rStyle w:val="FootnoteReference"/>
                <w:bCs/>
                <w:spacing w:val="-2"/>
                <w:position w:val="-2"/>
                <w:sz w:val="28"/>
                <w:szCs w:val="28"/>
              </w:rPr>
              <w:footnoteReference w:id="3"/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>≥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85%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700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17.7. Tỷ lệ hộ chăn nuôi có chuồng trại chăn nuôi đảm bảo vệ sinh môi trường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>≥7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0%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700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17.8. Tỷ lệ hộ gia đình và cơ sở sản xuất kinh doanh thực phẩm tuân thủ các quy định về an toàn thực phẩm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100%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575"/>
        </w:trPr>
        <w:tc>
          <w:tcPr>
            <w:tcW w:w="10389" w:type="dxa"/>
            <w:gridSpan w:val="5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V. H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Ệ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TH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Ố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NG CHÍNH TR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Ị</w:t>
            </w:r>
          </w:p>
        </w:tc>
      </w:tr>
      <w:tr w:rsidR="004979DD" w:rsidRPr="00E06ED1" w:rsidTr="0048718B">
        <w:trPr>
          <w:trHeight w:val="547"/>
        </w:trPr>
        <w:tc>
          <w:tcPr>
            <w:tcW w:w="1043" w:type="dxa"/>
            <w:vMerge w:val="restart"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18</w:t>
            </w:r>
          </w:p>
        </w:tc>
        <w:tc>
          <w:tcPr>
            <w:tcW w:w="1130" w:type="dxa"/>
            <w:vMerge w:val="restart"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H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ệ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th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ố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ng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 xml:space="preserve"> c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  <w:t>hính trị</w:t>
            </w: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 xml:space="preserve"> và tiếp cận pháp luật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18.1. Cán bộ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, công chức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x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ã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đạt chuẩn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740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18.2. Có đủ các t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ổ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chức trong hệ th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ố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ng chính trị cơ s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ở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theo quy định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694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18.3. Đảng b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ộ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>, chính quyền xã đạt tiêu chuẩn "trong sạch, vững mạnh"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690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18.4.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T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ổ chức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chính trị - xã hội của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xã đều đạt 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loại khá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tr</w:t>
            </w: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ở</w:t>
            </w:r>
            <w:r w:rsidRPr="00E06ED1">
              <w:rPr>
                <w:bCs/>
                <w:spacing w:val="-2"/>
                <w:position w:val="-2"/>
                <w:sz w:val="28"/>
                <w:szCs w:val="28"/>
                <w:lang w:val="vi-VN"/>
              </w:rPr>
              <w:t xml:space="preserve"> lên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>
              <w:rPr>
                <w:bCs/>
                <w:spacing w:val="-2"/>
                <w:position w:val="-2"/>
                <w:sz w:val="28"/>
                <w:szCs w:val="28"/>
              </w:rPr>
              <w:t>100%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659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18.5. Xã đạt chuẩn tiếp cận pháp luật theo quy định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1505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18.6. Đảm bảo bình đẳng giới và phòng chống bạo lực gia đình; bảo vệ và hỗ trợ những người dễ bị tổn thương trong các lĩnh vực của gia đình và đời sống xã hội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100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653"/>
        </w:trPr>
        <w:tc>
          <w:tcPr>
            <w:tcW w:w="1043" w:type="dxa"/>
            <w:vMerge w:val="restart"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19</w:t>
            </w:r>
          </w:p>
        </w:tc>
        <w:tc>
          <w:tcPr>
            <w:tcW w:w="1130" w:type="dxa"/>
            <w:vMerge w:val="restart"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/>
                <w:bCs/>
                <w:spacing w:val="-2"/>
                <w:position w:val="-2"/>
                <w:sz w:val="28"/>
                <w:szCs w:val="28"/>
              </w:rPr>
              <w:t>Quôc phòng và an ninh</w:t>
            </w: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 xml:space="preserve">19.1. Xây dựng lực lương dân quân “vững mạnh, rông khắp” và hoàn thành các tiêu chí quốc phòng 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  <w:tr w:rsidR="004979DD" w:rsidRPr="00E06ED1" w:rsidTr="0048718B">
        <w:trPr>
          <w:trHeight w:val="653"/>
        </w:trPr>
        <w:tc>
          <w:tcPr>
            <w:tcW w:w="1043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979DD" w:rsidRPr="00E06ED1" w:rsidRDefault="004979DD" w:rsidP="004979DD">
            <w:pPr>
              <w:spacing w:before="48" w:after="72"/>
              <w:ind w:right="81"/>
              <w:jc w:val="center"/>
              <w:rPr>
                <w:b/>
                <w:bCs/>
                <w:spacing w:val="-2"/>
                <w:position w:val="-2"/>
                <w:sz w:val="28"/>
                <w:szCs w:val="28"/>
                <w:lang w:val="vi-VN"/>
              </w:rPr>
            </w:pPr>
          </w:p>
        </w:tc>
        <w:tc>
          <w:tcPr>
            <w:tcW w:w="5278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ind w:left="141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19.2. Xã đạt chuẩn an toàn về an ninh trật tự xã hội và đảm bảo bình yên không có khiếu kiện đông người kéo dài; không để xảy ra trọng án; tội phạm và tệ nạm xã hội (ma túy, trộm cắp, cờ bạc, nghiện hút) được kiềm chế, giảm liên tục so với năm trước.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jc w:val="center"/>
              <w:rPr>
                <w:bCs/>
                <w:spacing w:val="-2"/>
                <w:position w:val="-2"/>
                <w:sz w:val="28"/>
                <w:szCs w:val="28"/>
              </w:rPr>
            </w:pPr>
            <w:r w:rsidRPr="00E06ED1">
              <w:rPr>
                <w:bCs/>
                <w:spacing w:val="-2"/>
                <w:position w:val="-2"/>
                <w:sz w:val="28"/>
                <w:szCs w:val="28"/>
              </w:rPr>
              <w:t>Đạt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79DD" w:rsidRPr="00E06ED1" w:rsidRDefault="004979DD" w:rsidP="004979DD">
            <w:pPr>
              <w:shd w:val="clear" w:color="auto" w:fill="FFFFFF"/>
              <w:spacing w:before="48" w:beforeAutospacing="1" w:after="72"/>
              <w:rPr>
                <w:bCs/>
                <w:spacing w:val="-2"/>
                <w:position w:val="-2"/>
                <w:sz w:val="28"/>
                <w:szCs w:val="28"/>
              </w:rPr>
            </w:pPr>
          </w:p>
        </w:tc>
      </w:tr>
    </w:tbl>
    <w:p w:rsidR="002D6C4C" w:rsidRPr="00414525" w:rsidRDefault="002D6C4C" w:rsidP="002D6C4C">
      <w:pPr>
        <w:tabs>
          <w:tab w:val="left" w:pos="3495"/>
        </w:tabs>
        <w:rPr>
          <w:lang w:val="pl-PL"/>
        </w:rPr>
      </w:pPr>
      <w:r>
        <w:rPr>
          <w:lang w:val="pl-PL"/>
        </w:rPr>
        <w:tab/>
      </w:r>
    </w:p>
    <w:p w:rsidR="002D6C4C" w:rsidRPr="0039118D" w:rsidRDefault="002D6C4C" w:rsidP="002D6C4C">
      <w:pPr>
        <w:spacing w:line="34" w:lineRule="atLeast"/>
        <w:jc w:val="center"/>
        <w:rPr>
          <w:sz w:val="22"/>
          <w:szCs w:val="22"/>
          <w:lang w:val="pl-PL"/>
        </w:rPr>
      </w:pPr>
    </w:p>
    <w:sectPr w:rsidR="002D6C4C" w:rsidRPr="0039118D" w:rsidSect="002D6C4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8E" w:rsidRDefault="003E588E" w:rsidP="006077BD">
      <w:r>
        <w:separator/>
      </w:r>
    </w:p>
  </w:endnote>
  <w:endnote w:type="continuationSeparator" w:id="0">
    <w:p w:rsidR="003E588E" w:rsidRDefault="003E588E" w:rsidP="0060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8E" w:rsidRDefault="003E588E" w:rsidP="006077BD">
      <w:r>
        <w:separator/>
      </w:r>
    </w:p>
  </w:footnote>
  <w:footnote w:type="continuationSeparator" w:id="0">
    <w:p w:rsidR="003E588E" w:rsidRDefault="003E588E" w:rsidP="006077BD">
      <w:r>
        <w:continuationSeparator/>
      </w:r>
    </w:p>
  </w:footnote>
  <w:footnote w:id="1">
    <w:p w:rsidR="006077BD" w:rsidRDefault="006077BD" w:rsidP="006077B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C3767">
        <w:t>Quy hoạch chung xây dựng xã phải đảm bảo thực hiện tái cơ cấu ngành nông nghiệp gắn với ứng phó</w:t>
      </w:r>
      <w:r>
        <w:t xml:space="preserve"> </w:t>
      </w:r>
      <w:r w:rsidRPr="006C3767">
        <w:t>với biến đổi khí hậu, quá trình đô thị hóa của các xã ven đô và đảm bảo tiêu chí môi trường nông thôn.</w:t>
      </w:r>
    </w:p>
  </w:footnote>
  <w:footnote w:id="2">
    <w:p w:rsidR="004979DD" w:rsidRDefault="004979DD" w:rsidP="0048718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C3767">
        <w:t>Điểm vui chơi, giải trí và thể thao cho trẻ em của xã phải đảm bảo điều kiện và có nội dung hoạt động chống đuối nước cho trẻ em.</w:t>
      </w:r>
    </w:p>
  </w:footnote>
  <w:footnote w:id="3">
    <w:p w:rsidR="004979DD" w:rsidRDefault="004979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3767">
        <w:t>Đảm bảo 3 sạch, gồm: Sạch nhà, sạch bếp, sạch ngõ (theo nội dung cuộc vận động “</w:t>
      </w:r>
      <w:r w:rsidRPr="006C3767">
        <w:rPr>
          <w:i/>
        </w:rPr>
        <w:t>Xây dựng gia đình 5 không, 3 sạch</w:t>
      </w:r>
      <w:r w:rsidRPr="006C3767">
        <w:t>” do Trung ương Hội Liên hiệp Phụ nữ Việt Nam phát động).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E6F78"/>
    <w:multiLevelType w:val="hybridMultilevel"/>
    <w:tmpl w:val="CA8E1F56"/>
    <w:lvl w:ilvl="0" w:tplc="6A6E875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28F34F6"/>
    <w:multiLevelType w:val="hybridMultilevel"/>
    <w:tmpl w:val="726C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C"/>
    <w:rsid w:val="001878BB"/>
    <w:rsid w:val="00204F61"/>
    <w:rsid w:val="00245CAE"/>
    <w:rsid w:val="002D6C4C"/>
    <w:rsid w:val="003E588E"/>
    <w:rsid w:val="0048718B"/>
    <w:rsid w:val="004979DD"/>
    <w:rsid w:val="004A5E50"/>
    <w:rsid w:val="00506A7B"/>
    <w:rsid w:val="00534F22"/>
    <w:rsid w:val="006077BD"/>
    <w:rsid w:val="00617B98"/>
    <w:rsid w:val="0066303F"/>
    <w:rsid w:val="00665A6C"/>
    <w:rsid w:val="00677112"/>
    <w:rsid w:val="007B135E"/>
    <w:rsid w:val="00850067"/>
    <w:rsid w:val="00A21743"/>
    <w:rsid w:val="00A80EA0"/>
    <w:rsid w:val="00AB1EB7"/>
    <w:rsid w:val="00AD6777"/>
    <w:rsid w:val="00B25CE9"/>
    <w:rsid w:val="00BE0BA3"/>
    <w:rsid w:val="00D808F4"/>
    <w:rsid w:val="00F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837F8-235B-4344-8BE8-82B09514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077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7B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77B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077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77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7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3E9D-C3E6-4748-8FF2-2445C999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11</cp:revision>
  <cp:lastPrinted>2017-07-05T23:57:00Z</cp:lastPrinted>
  <dcterms:created xsi:type="dcterms:W3CDTF">2017-05-09T16:26:00Z</dcterms:created>
  <dcterms:modified xsi:type="dcterms:W3CDTF">2017-07-05T23:59:00Z</dcterms:modified>
</cp:coreProperties>
</file>